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rPr>
          <w:rFonts w:hint="default" w:cs="Arial"/>
          <w:bCs/>
          <w:sz w:val="24"/>
          <w:lang w:val="en-US" w:eastAsia="zh-CN"/>
        </w:rPr>
      </w:pPr>
      <w:bookmarkStart w:id="0" w:name="OLE_LINK33"/>
      <w:bookmarkStart w:id="1" w:name="OLE_LINK34"/>
      <w:bookmarkStart w:id="2" w:name="OLE_LINK13"/>
      <w:bookmarkStart w:id="3" w:name="OLE_LINK12"/>
      <w:r>
        <w:rPr>
          <w:rFonts w:cs="Arial"/>
          <w:bCs/>
          <w:sz w:val="24"/>
          <w:lang w:eastAsia="zh-CN"/>
        </w:rPr>
        <w:t>3GPP TSG-RAN WG2 Meeting</w:t>
      </w:r>
      <w:r>
        <w:rPr>
          <w:rFonts w:hint="eastAsia" w:cs="Arial"/>
          <w:bCs/>
          <w:sz w:val="24"/>
          <w:lang w:eastAsia="zh-CN"/>
        </w:rPr>
        <w:t>#1</w:t>
      </w:r>
      <w:r>
        <w:rPr>
          <w:rFonts w:hint="eastAsia" w:cs="Arial"/>
          <w:bCs/>
          <w:sz w:val="24"/>
          <w:lang w:val="en-US" w:eastAsia="zh-CN"/>
        </w:rPr>
        <w:t>11e</w:t>
      </w:r>
      <w:r>
        <w:rPr>
          <w:rFonts w:hint="eastAsia" w:cs="Arial"/>
          <w:bCs/>
          <w:sz w:val="24"/>
          <w:lang w:eastAsia="zh-CN"/>
        </w:rPr>
        <w:tab/>
      </w:r>
      <w:r>
        <w:rPr>
          <w:rFonts w:hint="eastAsia" w:cs="Arial"/>
          <w:bCs/>
          <w:sz w:val="24"/>
          <w:lang w:eastAsia="zh-CN"/>
        </w:rPr>
        <w:tab/>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hint="eastAsia" w:cs="Arial"/>
          <w:bCs/>
          <w:i/>
          <w:sz w:val="24"/>
          <w:lang w:eastAsia="zh-CN"/>
        </w:rPr>
        <w:t>R2-2006859</w:t>
      </w:r>
      <w:bookmarkStart w:id="9" w:name="_GoBack"/>
      <w:bookmarkEnd w:id="9"/>
    </w:p>
    <w:p>
      <w:pPr>
        <w:tabs>
          <w:tab w:val="center" w:pos="4536"/>
          <w:tab w:val="right" w:pos="9072"/>
        </w:tabs>
        <w:rPr>
          <w:rFonts w:ascii="Arial" w:hAnsi="Arial"/>
          <w:b/>
          <w:sz w:val="24"/>
          <w:szCs w:val="20"/>
          <w:lang w:val="en-GB" w:eastAsia="en-US"/>
        </w:rPr>
      </w:pPr>
      <w:r>
        <w:rPr>
          <w:rFonts w:ascii="Arial" w:hAnsi="Arial" w:eastAsia="MS Mincho" w:cs="Arial"/>
          <w:b/>
          <w:bCs/>
          <w:sz w:val="24"/>
          <w:szCs w:val="24"/>
          <w:lang w:val="de-DE" w:eastAsia="zh-CN" w:bidi="ar-SA"/>
        </w:rPr>
        <w:t>Online, August 17th - 28th, 2020</w:t>
      </w:r>
      <w:r>
        <w:rPr>
          <w:rFonts w:ascii="Arial" w:hAnsi="Arial" w:eastAsia="MS Mincho" w:cs="Arial"/>
          <w:b/>
          <w:bCs/>
          <w:sz w:val="24"/>
          <w:szCs w:val="24"/>
          <w:lang w:val="en-GB" w:eastAsia="en-US" w:bidi="ar-SA"/>
        </w:rPr>
        <w:t xml:space="preserve">     </w:t>
      </w:r>
      <w:r>
        <w:rPr>
          <w:rFonts w:ascii="Arial" w:hAnsi="Arial"/>
          <w:b/>
          <w:sz w:val="24"/>
          <w:szCs w:val="20"/>
          <w:lang w:val="en-GB" w:eastAsia="en-US"/>
        </w:rPr>
        <w:t xml:space="preserve">      </w:t>
      </w:r>
      <w:r>
        <w:rPr>
          <w:rFonts w:ascii="Arial" w:hAnsi="Arial" w:cs="Arial"/>
          <w:b/>
          <w:i/>
          <w:sz w:val="24"/>
          <w:szCs w:val="20"/>
          <w:lang w:val="en-GB" w:eastAsia="en-US"/>
        </w:rPr>
        <w:t xml:space="preserve">              </w:t>
      </w:r>
    </w:p>
    <w:p>
      <w:pPr>
        <w:pStyle w:val="19"/>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 Corporation, Sanechips</w:t>
      </w:r>
    </w:p>
    <w:p>
      <w:pPr>
        <w:pStyle w:val="19"/>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4" w:name="OLE_LINK19"/>
      <w:r>
        <w:rPr>
          <w:rFonts w:hint="eastAsia" w:eastAsia="宋体"/>
          <w:sz w:val="24"/>
          <w:szCs w:val="22"/>
          <w:lang w:eastAsia="zh-CN"/>
        </w:rPr>
        <w:t xml:space="preserve"> </w:t>
      </w:r>
      <w:bookmarkEnd w:id="4"/>
      <w:r>
        <w:rPr>
          <w:rFonts w:hint="eastAsia" w:eastAsia="宋体"/>
          <w:sz w:val="24"/>
          <w:szCs w:val="22"/>
          <w:lang w:eastAsia="zh-CN"/>
        </w:rPr>
        <w:t>Considering on measurement requirement for eMTC UE in RRC_INACTIVE state</w:t>
      </w:r>
    </w:p>
    <w:p>
      <w:pPr>
        <w:pStyle w:val="19"/>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val="en-US" w:eastAsia="zh-CN"/>
        </w:rPr>
        <w:t>7</w:t>
      </w:r>
      <w:r>
        <w:rPr>
          <w:rFonts w:eastAsia="宋体"/>
          <w:sz w:val="24"/>
          <w:szCs w:val="22"/>
          <w:lang w:eastAsia="zh-CN"/>
        </w:rPr>
        <w:t>.</w:t>
      </w:r>
      <w:r>
        <w:rPr>
          <w:rFonts w:hint="eastAsia" w:eastAsia="宋体"/>
          <w:sz w:val="24"/>
          <w:szCs w:val="22"/>
          <w:lang w:eastAsia="zh-CN"/>
        </w:rPr>
        <w:t>2</w:t>
      </w:r>
      <w:r>
        <w:rPr>
          <w:rFonts w:eastAsia="宋体"/>
          <w:sz w:val="24"/>
          <w:szCs w:val="22"/>
          <w:lang w:eastAsia="zh-CN"/>
        </w:rPr>
        <w:t>.</w:t>
      </w:r>
      <w:r>
        <w:rPr>
          <w:rFonts w:hint="eastAsia" w:eastAsia="宋体"/>
          <w:sz w:val="24"/>
          <w:szCs w:val="22"/>
          <w:lang w:val="en-US" w:eastAsia="zh-CN"/>
        </w:rPr>
        <w:t>5</w:t>
      </w:r>
    </w:p>
    <w:p>
      <w:pPr>
        <w:pStyle w:val="19"/>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bookmarkEnd w:id="2"/>
    <w:bookmarkEnd w:id="3"/>
    <w:p>
      <w:pPr>
        <w:pStyle w:val="75"/>
        <w:spacing w:before="120" w:beforeLines="50" w:afterLines="50" w:line="260" w:lineRule="exact"/>
        <w:rPr>
          <w:rFonts w:hint="default" w:ascii="Times New Roman" w:hAnsi="Times New Roman" w:eastAsia="宋体" w:cs="Times New Roman"/>
          <w:lang w:val="en-US" w:eastAsia="zh-CN"/>
        </w:rPr>
      </w:pPr>
      <w:bookmarkStart w:id="5" w:name="OLE_LINK1"/>
      <w:r>
        <w:rPr>
          <w:rFonts w:hint="default" w:ascii="Times New Roman" w:hAnsi="Times New Roman" w:eastAsia="宋体" w:cs="Times New Roman"/>
          <w:lang w:val="en-US" w:eastAsia="zh-CN"/>
        </w:rPr>
        <w:t>In Rel-16, RRC_INACTIVE state is supported for eMTC UE(e.g. BL UE or UE in CE) connected to 5GC, in which case  extended RAN paging cycle(e.g. rf512, rf1024)  is also supported[1].</w:t>
      </w:r>
    </w:p>
    <w:p>
      <w:pPr>
        <w:pStyle w:val="75"/>
        <w:spacing w:before="120" w:beforeLines="50" w:afterLines="50" w:line="260" w:lineRule="exact"/>
        <w:rPr>
          <w:rFonts w:hint="default" w:ascii="Times New Roman" w:hAnsi="Times New Roman" w:cs="Times New Roman"/>
        </w:rPr>
      </w:pPr>
      <w:r>
        <w:rPr>
          <w:rFonts w:hint="default" w:ascii="Times New Roman" w:hAnsi="Times New Roman" w:eastAsia="宋体" w:cs="Times New Roman"/>
          <w:lang w:val="en-US" w:eastAsia="zh-CN"/>
        </w:rPr>
        <w:t>Since the behaviour of UE in RRC_INACTIVE is different from that in RRC_IDLE or RRC_CONNECTED state, especially the DRX cycle is different, which impacts the UE measurement requirement. But the Cell Re-selection Requirements for UE category M1/M2 are missing in the section “4A E-UTRAN RRC_INACTIVE state mobility” of TS 36.133[2].</w:t>
      </w:r>
    </w:p>
    <w:p>
      <w:pPr>
        <w:pStyle w:val="2"/>
        <w:spacing w:before="120" w:after="120" w:line="360" w:lineRule="auto"/>
        <w:ind w:left="431" w:hanging="431"/>
        <w:rPr>
          <w:rFonts w:ascii="Times New Roman" w:hAnsi="Times New Roman"/>
          <w:lang w:val="en-US"/>
        </w:rPr>
      </w:pPr>
      <w:r>
        <w:rPr>
          <w:rFonts w:ascii="Times New Roman" w:hAnsi="Times New Roman"/>
          <w:lang w:val="en-US"/>
        </w:rPr>
        <w:t>Discussion</w:t>
      </w:r>
    </w:p>
    <w:p>
      <w:pPr>
        <w:pStyle w:val="75"/>
        <w:spacing w:before="120" w:beforeLines="50" w:afterLines="50" w:line="260" w:lineRule="exact"/>
        <w:rPr>
          <w:rFonts w:hint="eastAsia" w:ascii="Times New Roman" w:hAnsi="Times New Roman" w:eastAsia="宋体" w:cs="Times New Roman"/>
          <w:sz w:val="21"/>
          <w:szCs w:val="22"/>
          <w:lang w:val="en-US" w:eastAsia="zh-CN"/>
        </w:rPr>
      </w:pPr>
      <w:r>
        <w:rPr>
          <w:rFonts w:hint="eastAsia" w:ascii="Times New Roman" w:hAnsi="Times New Roman" w:eastAsia="宋体" w:cs="Times New Roman"/>
          <w:sz w:val="21"/>
          <w:szCs w:val="22"/>
          <w:lang w:val="en-US" w:eastAsia="zh-CN"/>
        </w:rPr>
        <w:t>The measurement requirements for Cell Re-selection is directly decided by the DRX cycle and eDRX parameters (e.g. eDRX cycle length and PTW length). The DRX cycle(T) used for eMTC UE in RRC_INACTIVE is decided by UE specific DRX, default paging value broadcast in system information, RAN paging cycle and the eDRX parameters, e.g. I</w:t>
      </w:r>
      <w:r>
        <w:rPr>
          <w:rFonts w:hint="default" w:ascii="Times New Roman" w:hAnsi="Times New Roman" w:eastAsia="宋体" w:cs="Times New Roman"/>
          <w:sz w:val="21"/>
          <w:szCs w:val="22"/>
          <w:lang w:val="en-US" w:eastAsia="zh-CN"/>
        </w:rPr>
        <w:t xml:space="preserve">f extended DRX is not configured by upper layers, </w:t>
      </w:r>
      <w:r>
        <w:rPr>
          <w:rFonts w:hint="eastAsia" w:ascii="Times New Roman" w:hAnsi="Times New Roman" w:eastAsia="宋体" w:cs="Times New Roman"/>
          <w:sz w:val="21"/>
          <w:szCs w:val="22"/>
          <w:lang w:val="en-US" w:eastAsia="zh-CN"/>
        </w:rPr>
        <w:t>the DRX cycle(</w:t>
      </w:r>
      <w:r>
        <w:rPr>
          <w:rFonts w:hint="default" w:ascii="Times New Roman" w:hAnsi="Times New Roman" w:eastAsia="宋体" w:cs="Times New Roman"/>
          <w:sz w:val="21"/>
          <w:szCs w:val="22"/>
          <w:lang w:val="en-US" w:eastAsia="zh-CN"/>
        </w:rPr>
        <w:t>T</w:t>
      </w:r>
      <w:r>
        <w:rPr>
          <w:rFonts w:hint="eastAsia" w:ascii="Times New Roman" w:hAnsi="Times New Roman" w:eastAsia="宋体" w:cs="Times New Roman"/>
          <w:sz w:val="21"/>
          <w:szCs w:val="22"/>
          <w:lang w:val="en-US" w:eastAsia="zh-CN"/>
        </w:rPr>
        <w:t>)</w:t>
      </w:r>
      <w:r>
        <w:rPr>
          <w:rFonts w:hint="default" w:ascii="Times New Roman" w:hAnsi="Times New Roman" w:eastAsia="宋体" w:cs="Times New Roman"/>
          <w:sz w:val="21"/>
          <w:szCs w:val="22"/>
          <w:lang w:val="en-US" w:eastAsia="zh-CN"/>
        </w:rPr>
        <w:t xml:space="preserve"> is determined by the shortest of the RAN paging cycle, the UE specific paging cycle, and the </w:t>
      </w:r>
      <w:r>
        <w:rPr>
          <w:rFonts w:hint="eastAsia" w:ascii="Times New Roman" w:hAnsi="Times New Roman" w:eastAsia="宋体" w:cs="Times New Roman"/>
          <w:sz w:val="21"/>
          <w:szCs w:val="22"/>
          <w:lang w:val="en-US" w:eastAsia="zh-CN"/>
        </w:rPr>
        <w:t>default paging cycle value</w:t>
      </w:r>
      <w:r>
        <w:rPr>
          <w:rFonts w:hint="default" w:ascii="Times New Roman" w:hAnsi="Times New Roman" w:eastAsia="宋体" w:cs="Times New Roman"/>
          <w:sz w:val="21"/>
          <w:szCs w:val="22"/>
          <w:lang w:val="en-US" w:eastAsia="zh-CN"/>
        </w:rPr>
        <w:t xml:space="preserve">, if allocated by upper layers. Otherwise, in RRC_INACTIVE state when extended DRX is configured by upper layers, </w:t>
      </w:r>
      <w:r>
        <w:rPr>
          <w:rFonts w:hint="eastAsia" w:ascii="Times New Roman" w:hAnsi="Times New Roman" w:eastAsia="宋体" w:cs="Times New Roman"/>
          <w:sz w:val="21"/>
          <w:szCs w:val="22"/>
          <w:lang w:val="en-US" w:eastAsia="zh-CN"/>
        </w:rPr>
        <w:t>the DRX cycle(</w:t>
      </w:r>
      <w:r>
        <w:rPr>
          <w:rFonts w:hint="default" w:ascii="Times New Roman" w:hAnsi="Times New Roman" w:eastAsia="宋体" w:cs="Times New Roman"/>
          <w:sz w:val="21"/>
          <w:szCs w:val="22"/>
          <w:lang w:val="en-US" w:eastAsia="zh-CN"/>
        </w:rPr>
        <w:t>T</w:t>
      </w:r>
      <w:r>
        <w:rPr>
          <w:rFonts w:hint="eastAsia" w:ascii="Times New Roman" w:hAnsi="Times New Roman" w:eastAsia="宋体" w:cs="Times New Roman"/>
          <w:sz w:val="21"/>
          <w:szCs w:val="22"/>
          <w:lang w:val="en-US" w:eastAsia="zh-CN"/>
        </w:rPr>
        <w:t>)</w:t>
      </w:r>
      <w:r>
        <w:rPr>
          <w:rFonts w:hint="default" w:ascii="Times New Roman" w:hAnsi="Times New Roman" w:eastAsia="宋体" w:cs="Times New Roman"/>
          <w:sz w:val="21"/>
          <w:szCs w:val="22"/>
          <w:lang w:val="en-US" w:eastAsia="zh-CN"/>
        </w:rPr>
        <w:t xml:space="preserve"> is determined by the shortest of the RAN paging cycle, the UE specific paging cycle, if allocated by upper layers and the default paging cycle during the PTW, and by the RAN paging cycle outside the PTW.</w:t>
      </w:r>
      <w:r>
        <w:rPr>
          <w:rFonts w:hint="eastAsia" w:ascii="Times New Roman" w:hAnsi="Times New Roman" w:eastAsia="宋体" w:cs="Times New Roman"/>
          <w:sz w:val="21"/>
          <w:szCs w:val="22"/>
          <w:lang w:val="en-US" w:eastAsia="zh-CN"/>
        </w:rPr>
        <w:t xml:space="preserve"> It can be seen that the extended RAN paging cycle(</w:t>
      </w:r>
      <w:r>
        <w:rPr>
          <w:rFonts w:hint="default" w:ascii="Times New Roman" w:hAnsi="Times New Roman" w:eastAsia="宋体" w:cs="Times New Roman"/>
          <w:lang w:val="en-US" w:eastAsia="zh-CN"/>
        </w:rPr>
        <w:t>e.g. rf512, rf1024</w:t>
      </w:r>
      <w:r>
        <w:rPr>
          <w:rFonts w:hint="eastAsia" w:ascii="Times New Roman" w:hAnsi="Times New Roman" w:eastAsia="宋体" w:cs="Times New Roman"/>
          <w:sz w:val="21"/>
          <w:szCs w:val="22"/>
          <w:lang w:val="en-US" w:eastAsia="zh-CN"/>
        </w:rPr>
        <w:t xml:space="preserve">) is already taken into account for the DRX cycle(T) decision. E.g. the DRX cycle(T) may be larger than the </w:t>
      </w:r>
      <w:r>
        <w:rPr>
          <w:rFonts w:hint="default" w:ascii="Times New Roman" w:hAnsi="Times New Roman" w:eastAsia="宋体" w:cs="Times New Roman"/>
          <w:sz w:val="21"/>
          <w:szCs w:val="22"/>
          <w:lang w:val="en-US" w:eastAsia="zh-CN"/>
        </w:rPr>
        <w:t>default paging cycle</w:t>
      </w:r>
      <w:r>
        <w:rPr>
          <w:rFonts w:hint="eastAsia" w:ascii="Times New Roman" w:hAnsi="Times New Roman" w:eastAsia="宋体" w:cs="Times New Roman"/>
          <w:sz w:val="21"/>
          <w:szCs w:val="22"/>
          <w:lang w:val="en-US" w:eastAsia="zh-CN"/>
        </w:rPr>
        <w:t xml:space="preserve">, which can be used as the measurement requirements for Cell Re-selection to save eMTC UE power in RRC_INACTIVE state. </w:t>
      </w:r>
    </w:p>
    <w:p>
      <w:pPr>
        <w:pStyle w:val="75"/>
        <w:spacing w:before="120" w:beforeLines="50" w:afterLines="50" w:line="260" w:lineRule="exact"/>
        <w:rPr>
          <w:rFonts w:hint="eastAsia"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Observation 1: The DRX cycle(T) can be used as the measurement requirements for Cell Re-selection to save eMTC UE power in RRC_INACTIVE state.</w:t>
      </w:r>
    </w:p>
    <w:p>
      <w:pPr>
        <w:pStyle w:val="75"/>
        <w:spacing w:before="120" w:beforeLines="50" w:afterLines="50" w:line="260" w:lineRule="exact"/>
        <w:rPr>
          <w:rFonts w:hint="default" w:ascii="Times New Roman" w:hAnsi="Times New Roman" w:eastAsia="宋体" w:cs="Times New Roman"/>
          <w:sz w:val="21"/>
          <w:szCs w:val="22"/>
          <w:lang w:val="en-US" w:eastAsia="zh-CN"/>
        </w:rPr>
      </w:pPr>
      <w:r>
        <w:rPr>
          <w:rFonts w:hint="eastAsia" w:ascii="Times New Roman" w:hAnsi="Times New Roman" w:eastAsia="宋体" w:cs="Times New Roman"/>
          <w:sz w:val="21"/>
          <w:szCs w:val="22"/>
          <w:lang w:val="en-US" w:eastAsia="zh-CN"/>
        </w:rPr>
        <w:t>Since whatever in PTW or outside the PTW, if</w:t>
      </w:r>
      <w:r>
        <w:rPr>
          <w:rFonts w:hint="default" w:ascii="Times New Roman" w:hAnsi="Times New Roman" w:eastAsia="宋体" w:cs="Times New Roman"/>
          <w:sz w:val="21"/>
          <w:szCs w:val="22"/>
          <w:lang w:val="en-US" w:eastAsia="zh-CN"/>
        </w:rPr>
        <w:t xml:space="preserve"> extended DRX is not configured by upper layers</w:t>
      </w:r>
      <w:r>
        <w:rPr>
          <w:rFonts w:hint="eastAsia" w:ascii="Times New Roman" w:hAnsi="Times New Roman" w:eastAsia="宋体" w:cs="Times New Roman"/>
          <w:sz w:val="21"/>
          <w:szCs w:val="22"/>
          <w:lang w:val="en-US" w:eastAsia="zh-CN"/>
        </w:rPr>
        <w:t xml:space="preserve">, the UE should always monitor the PAGING, so, the measurement requirements for Cell Re-selection for eMTC UE in RRC_INACTIVE state need not care whether the eDRX is configured. </w:t>
      </w:r>
    </w:p>
    <w:p>
      <w:pPr>
        <w:pStyle w:val="75"/>
        <w:spacing w:before="120" w:beforeLines="50" w:afterLines="50" w:line="260" w:lineRule="exact"/>
        <w:rPr>
          <w:rFonts w:hint="eastAsia"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Observation 2: eDRX configuratin need not be considered in the measurement requirements for Cell Re-selection for eMTC UE RRC_INACTIVE state.</w:t>
      </w:r>
    </w:p>
    <w:p>
      <w:pPr>
        <w:pStyle w:val="75"/>
        <w:spacing w:before="120" w:beforeLines="50" w:afterLines="50" w:line="260" w:lineRule="exact"/>
        <w:rPr>
          <w:rFonts w:hint="default" w:ascii="Times New Roman" w:hAnsi="Times New Roman" w:eastAsia="宋体" w:cs="Times New Roman"/>
          <w:b w:val="0"/>
          <w:bCs w:val="0"/>
          <w:sz w:val="21"/>
          <w:szCs w:val="22"/>
          <w:lang w:val="en-US" w:eastAsia="zh-CN"/>
        </w:rPr>
      </w:pPr>
      <w:r>
        <w:rPr>
          <w:rFonts w:hint="eastAsia" w:ascii="Times New Roman" w:hAnsi="Times New Roman" w:eastAsia="宋体" w:cs="Times New Roman"/>
          <w:sz w:val="21"/>
          <w:szCs w:val="22"/>
          <w:lang w:val="en-US" w:eastAsia="zh-CN"/>
        </w:rPr>
        <w:t>Since the measurement and evaluation requirements defined for Category M1/M2 is based on the DRX cycle and eDRX parameters, the measurement and evaluation requirements defined for Category M1/M2 without eDRX configuration can be reused a</w:t>
      </w:r>
      <w:r>
        <w:rPr>
          <w:rFonts w:hint="eastAsia" w:ascii="Times New Roman" w:hAnsi="Times New Roman" w:eastAsia="宋体" w:cs="Times New Roman"/>
          <w:b w:val="0"/>
          <w:bCs w:val="0"/>
          <w:sz w:val="21"/>
          <w:szCs w:val="22"/>
          <w:lang w:val="en-US" w:eastAsia="zh-CN"/>
        </w:rPr>
        <w:t>s the requirements for Category M1/M2 in RRC_INACTIVE state.</w:t>
      </w:r>
    </w:p>
    <w:p>
      <w:pPr>
        <w:pStyle w:val="75"/>
        <w:spacing w:before="120" w:beforeLines="50" w:afterLines="50" w:line="260" w:lineRule="exact"/>
        <w:rPr>
          <w:rFonts w:hint="eastAsia"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Proposal 1:  Apply the requirements defined for Category M1/M2 without eDRX configuration in RRC_IDLE state mobility as the requirements for Category M1/M2 in RRC_INACTIVE state.</w:t>
      </w:r>
    </w:p>
    <w:p>
      <w:pPr>
        <w:pStyle w:val="75"/>
        <w:spacing w:before="120" w:beforeLines="50" w:afterLines="50" w:line="260" w:lineRule="exact"/>
        <w:rPr>
          <w:rFonts w:hint="default"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 xml:space="preserve">Proposal 1a: send LS to RAN4 to notify the RAN2 specification sate and request to define the </w:t>
      </w:r>
      <w:r>
        <w:rPr>
          <w:rFonts w:hint="default" w:ascii="Times New Roman" w:hAnsi="Times New Roman" w:eastAsia="宋体" w:cs="Times New Roman"/>
          <w:b/>
          <w:bCs/>
          <w:lang w:val="en-US" w:eastAsia="zh-CN"/>
        </w:rPr>
        <w:t>Cell Re-selection Requirements for UE category M1/M2</w:t>
      </w:r>
      <w:r>
        <w:rPr>
          <w:rFonts w:hint="eastAsia" w:ascii="Times New Roman" w:hAnsi="Times New Roman" w:eastAsia="宋体" w:cs="Times New Roman"/>
          <w:b/>
          <w:bCs/>
          <w:lang w:val="en-US" w:eastAsia="zh-CN"/>
        </w:rPr>
        <w:t xml:space="preserve"> in RRC_INACTIVE state.</w:t>
      </w:r>
    </w:p>
    <w:p>
      <w:pPr>
        <w:pStyle w:val="75"/>
        <w:spacing w:before="120" w:beforeLines="50" w:afterLines="50" w:line="260" w:lineRule="exact"/>
        <w:rPr>
          <w:rFonts w:ascii="Times New Roman" w:hAnsi="Times New Roman"/>
          <w:lang w:val="en-US"/>
        </w:rPr>
      </w:pPr>
    </w:p>
    <w:p>
      <w:pPr>
        <w:pStyle w:val="2"/>
        <w:spacing w:before="120" w:after="120" w:line="360" w:lineRule="auto"/>
        <w:ind w:left="431" w:hanging="431"/>
        <w:rPr>
          <w:lang w:val="en-US"/>
        </w:rPr>
      </w:pPr>
      <w:r>
        <w:rPr>
          <w:lang w:val="en-US"/>
        </w:rPr>
        <w:t>Conclusions</w:t>
      </w:r>
    </w:p>
    <w:p>
      <w:pPr>
        <w:rPr>
          <w:sz w:val="20"/>
          <w:szCs w:val="20"/>
        </w:rPr>
      </w:pPr>
      <w:r>
        <w:rPr>
          <w:sz w:val="20"/>
          <w:szCs w:val="20"/>
        </w:rPr>
        <w:t>In this contribution, we make the following proposal</w:t>
      </w:r>
      <w:r>
        <w:rPr>
          <w:rFonts w:hint="eastAsia"/>
          <w:sz w:val="20"/>
          <w:szCs w:val="20"/>
        </w:rPr>
        <w:t>s</w:t>
      </w:r>
      <w:r>
        <w:rPr>
          <w:sz w:val="20"/>
          <w:szCs w:val="20"/>
        </w:rPr>
        <w:t>:</w:t>
      </w:r>
    </w:p>
    <w:p>
      <w:pPr>
        <w:rPr>
          <w:b/>
          <w:sz w:val="20"/>
          <w:szCs w:val="20"/>
        </w:rPr>
      </w:pPr>
      <w:r>
        <w:rPr>
          <w:rFonts w:hint="eastAsia" w:ascii="Times New Roman" w:hAnsi="Times New Roman" w:eastAsia="宋体" w:cs="Times New Roman"/>
          <w:b/>
          <w:bCs/>
          <w:sz w:val="21"/>
          <w:szCs w:val="22"/>
          <w:lang w:val="en-US" w:eastAsia="zh-CN"/>
        </w:rPr>
        <w:t>Observation 1: The DRX cycle(T) can be used as the measurement requirements for Cell Re-selection to save eMTC UE power in RRC_INACTIVE state.</w:t>
      </w:r>
    </w:p>
    <w:p>
      <w:pPr>
        <w:rPr>
          <w:rFonts w:hint="eastAsia"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Observation 2: eDRX configuratin need not be considered in the measurement requirements for Cell Re-selection for eMTC UE RRC_INACTIVE state.</w:t>
      </w:r>
    </w:p>
    <w:p>
      <w:pPr>
        <w:rPr>
          <w:rFonts w:hint="eastAsia"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Proposal 1:  Apply the requirements defined for Category M1/M2 without eDRX configuration in RRC_IDLE state mobility as the requirements for Category M1/M2 in RRC_INACTIVE state.</w:t>
      </w:r>
    </w:p>
    <w:p>
      <w:pPr>
        <w:rPr>
          <w:rFonts w:hint="eastAsia" w:ascii="Times New Roman" w:hAnsi="Times New Roman" w:eastAsia="宋体" w:cs="Times New Roman"/>
          <w:b/>
          <w:bCs/>
          <w:sz w:val="21"/>
          <w:szCs w:val="22"/>
          <w:lang w:val="en-US" w:eastAsia="zh-CN"/>
        </w:rPr>
      </w:pPr>
      <w:r>
        <w:rPr>
          <w:rFonts w:hint="eastAsia" w:ascii="Times New Roman" w:hAnsi="Times New Roman" w:eastAsia="宋体" w:cs="Times New Roman"/>
          <w:b/>
          <w:bCs/>
          <w:sz w:val="21"/>
          <w:szCs w:val="22"/>
          <w:lang w:val="en-US" w:eastAsia="zh-CN"/>
        </w:rPr>
        <w:t xml:space="preserve">Proposal 1a: send LS to RAN4 to notify the RAN2 specification sate and request to define the </w:t>
      </w:r>
      <w:r>
        <w:rPr>
          <w:rFonts w:hint="default" w:ascii="Times New Roman" w:hAnsi="Times New Roman" w:eastAsia="宋体" w:cs="Times New Roman"/>
          <w:b/>
          <w:bCs/>
          <w:lang w:val="en-US" w:eastAsia="zh-CN"/>
        </w:rPr>
        <w:t>Cell Re-selection Requirements for UE category M1/M2</w:t>
      </w:r>
      <w:r>
        <w:rPr>
          <w:rFonts w:hint="eastAsia" w:ascii="Times New Roman" w:hAnsi="Times New Roman" w:eastAsia="宋体" w:cs="Times New Roman"/>
          <w:b/>
          <w:bCs/>
          <w:lang w:val="en-US" w:eastAsia="zh-CN"/>
        </w:rPr>
        <w:t xml:space="preserve"> in RRC_INACTIVE state.</w:t>
      </w:r>
    </w:p>
    <w:p>
      <w:pPr>
        <w:rPr>
          <w:b/>
          <w:sz w:val="20"/>
          <w:szCs w:val="20"/>
        </w:rPr>
      </w:pPr>
    </w:p>
    <w:bookmarkEnd w:id="5"/>
    <w:p>
      <w:pPr>
        <w:pStyle w:val="2"/>
        <w:numPr>
          <w:ilvl w:val="0"/>
          <w:numId w:val="0"/>
        </w:numPr>
        <w:spacing w:before="120" w:after="120"/>
        <w:rPr>
          <w:lang w:val="en-US"/>
        </w:rPr>
      </w:pPr>
      <w:bookmarkStart w:id="6" w:name="OLE_LINK10"/>
      <w:bookmarkStart w:id="7" w:name="OLE_LINK11"/>
      <w:r>
        <w:rPr>
          <w:lang w:val="en-US"/>
        </w:rPr>
        <w:t>References</w:t>
      </w:r>
    </w:p>
    <w:bookmarkEnd w:id="6"/>
    <w:bookmarkEnd w:id="7"/>
    <w:p>
      <w:pPr>
        <w:numPr>
          <w:ilvl w:val="0"/>
          <w:numId w:val="8"/>
        </w:numPr>
        <w:spacing w:before="24" w:beforeLines="10" w:after="24" w:afterLines="10" w:line="264" w:lineRule="auto"/>
        <w:rPr>
          <w:sz w:val="20"/>
          <w:szCs w:val="20"/>
        </w:rPr>
      </w:pPr>
      <w:bookmarkStart w:id="8" w:name="OLE_LINK2"/>
      <w:r>
        <w:rPr>
          <w:sz w:val="20"/>
          <w:szCs w:val="20"/>
        </w:rPr>
        <w:t xml:space="preserve">3GPP, </w:t>
      </w:r>
      <w:r>
        <w:rPr>
          <w:rFonts w:hint="eastAsia" w:eastAsia="宋体"/>
          <w:sz w:val="20"/>
          <w:szCs w:val="20"/>
          <w:lang w:val="en-US" w:eastAsia="zh-CN"/>
        </w:rPr>
        <w:t>TS 36.331</w:t>
      </w:r>
      <w:r>
        <w:rPr>
          <w:sz w:val="20"/>
          <w:szCs w:val="20"/>
        </w:rPr>
        <w:t xml:space="preserve">, </w:t>
      </w:r>
      <w:r>
        <w:rPr>
          <w:rFonts w:hint="eastAsia"/>
          <w:sz w:val="20"/>
          <w:szCs w:val="20"/>
        </w:rPr>
        <w:t>V16.1.1 (2020-07)</w:t>
      </w:r>
      <w:r>
        <w:rPr>
          <w:rFonts w:hint="eastAsia" w:eastAsia="宋体"/>
          <w:sz w:val="20"/>
          <w:szCs w:val="20"/>
          <w:lang w:val="en-US" w:eastAsia="zh-CN"/>
        </w:rPr>
        <w:t xml:space="preserve">, </w:t>
      </w:r>
      <w:r>
        <w:rPr>
          <w:rFonts w:hint="eastAsia"/>
          <w:sz w:val="20"/>
          <w:szCs w:val="20"/>
        </w:rPr>
        <w:t>Evolved Universal Terrestrial Radio Access (E-UTRA);Radio Resource Control (RRC);Protocol specification</w:t>
      </w:r>
    </w:p>
    <w:p>
      <w:pPr>
        <w:numPr>
          <w:ilvl w:val="0"/>
          <w:numId w:val="8"/>
        </w:numPr>
        <w:spacing w:before="24" w:beforeLines="10" w:after="24" w:afterLines="10" w:line="264" w:lineRule="auto"/>
        <w:rPr>
          <w:sz w:val="20"/>
          <w:szCs w:val="20"/>
        </w:rPr>
      </w:pPr>
      <w:r>
        <w:rPr>
          <w:sz w:val="20"/>
          <w:szCs w:val="20"/>
        </w:rPr>
        <w:t xml:space="preserve">3GPP, </w:t>
      </w:r>
      <w:r>
        <w:rPr>
          <w:rFonts w:hint="eastAsia" w:eastAsia="宋体"/>
          <w:sz w:val="20"/>
          <w:szCs w:val="20"/>
          <w:lang w:val="en-US" w:eastAsia="zh-CN"/>
        </w:rPr>
        <w:t>TS 36.133</w:t>
      </w:r>
      <w:r>
        <w:rPr>
          <w:sz w:val="20"/>
          <w:szCs w:val="20"/>
        </w:rPr>
        <w:t xml:space="preserve">, </w:t>
      </w:r>
      <w:r>
        <w:rPr>
          <w:rFonts w:hint="eastAsia"/>
          <w:sz w:val="20"/>
          <w:szCs w:val="20"/>
        </w:rPr>
        <w:t>V16.6.0 (2020-06)</w:t>
      </w:r>
      <w:r>
        <w:rPr>
          <w:rFonts w:hint="eastAsia" w:eastAsia="宋体"/>
          <w:sz w:val="20"/>
          <w:szCs w:val="20"/>
          <w:lang w:val="en-US" w:eastAsia="zh-CN"/>
        </w:rPr>
        <w:t xml:space="preserve">, </w:t>
      </w:r>
      <w:bookmarkEnd w:id="8"/>
      <w:r>
        <w:rPr>
          <w:rFonts w:hint="eastAsia"/>
          <w:sz w:val="20"/>
          <w:szCs w:val="20"/>
        </w:rPr>
        <w:t>Evolved Universal Terrestrial Radio Access (E-UTRA);</w:t>
      </w:r>
      <w:r>
        <w:rPr>
          <w:rFonts w:hint="eastAsia" w:eastAsia="宋体"/>
          <w:sz w:val="20"/>
          <w:szCs w:val="20"/>
          <w:lang w:val="en-US" w:eastAsia="zh-CN"/>
        </w:rPr>
        <w:t xml:space="preserve"> </w:t>
      </w:r>
      <w:r>
        <w:rPr>
          <w:rFonts w:hint="eastAsia"/>
          <w:sz w:val="20"/>
          <w:szCs w:val="20"/>
        </w:rPr>
        <w:t>Requirements for support of radio resource management</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01E44"/>
    <w:multiLevelType w:val="multilevel"/>
    <w:tmpl w:val="30501E44"/>
    <w:lvl w:ilvl="0" w:tentative="0">
      <w:start w:val="1"/>
      <w:numFmt w:val="decimal"/>
      <w:pStyle w:val="96"/>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91"/>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F899924"/>
    <w:multiLevelType w:val="singleLevel"/>
    <w:tmpl w:val="3F899924"/>
    <w:lvl w:ilvl="0" w:tentative="0">
      <w:start w:val="1"/>
      <w:numFmt w:val="bullet"/>
      <w:pStyle w:val="11"/>
      <w:lvlText w:val=""/>
      <w:lvlJc w:val="left"/>
      <w:pPr>
        <w:tabs>
          <w:tab w:val="left" w:pos="360"/>
        </w:tabs>
        <w:ind w:left="360" w:hanging="360"/>
      </w:pPr>
      <w:rPr>
        <w:rFonts w:hint="default" w:ascii="Wingdings" w:hAnsi="Wingdings"/>
      </w:rPr>
    </w:lvl>
  </w:abstractNum>
  <w:abstractNum w:abstractNumId="4">
    <w:nsid w:val="4BDF65F6"/>
    <w:multiLevelType w:val="multilevel"/>
    <w:tmpl w:val="4BDF65F6"/>
    <w:lvl w:ilvl="0" w:tentative="0">
      <w:start w:val="1"/>
      <w:numFmt w:val="decimal"/>
      <w:pStyle w:val="9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9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2"/>
  </w:num>
  <w:num w:numId="4">
    <w:abstractNumId w:val="7"/>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B56972"/>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6069F5"/>
    <w:rsid w:val="0C7E6C90"/>
    <w:rsid w:val="0D4238F0"/>
    <w:rsid w:val="0DDC54EB"/>
    <w:rsid w:val="0E384152"/>
    <w:rsid w:val="0E63143D"/>
    <w:rsid w:val="0E785DB0"/>
    <w:rsid w:val="0EAE32CA"/>
    <w:rsid w:val="0EE73BE2"/>
    <w:rsid w:val="0F1824F2"/>
    <w:rsid w:val="0F287A9F"/>
    <w:rsid w:val="0F440986"/>
    <w:rsid w:val="0F9E5674"/>
    <w:rsid w:val="10041577"/>
    <w:rsid w:val="102C60EA"/>
    <w:rsid w:val="10411FB1"/>
    <w:rsid w:val="108016CB"/>
    <w:rsid w:val="10847BF1"/>
    <w:rsid w:val="10C1471C"/>
    <w:rsid w:val="113F0E8D"/>
    <w:rsid w:val="116E0009"/>
    <w:rsid w:val="11F77EF7"/>
    <w:rsid w:val="121030AE"/>
    <w:rsid w:val="126D3D3C"/>
    <w:rsid w:val="13127DB7"/>
    <w:rsid w:val="13210BB1"/>
    <w:rsid w:val="135A4701"/>
    <w:rsid w:val="13B4794F"/>
    <w:rsid w:val="13BA0FD2"/>
    <w:rsid w:val="13DD2063"/>
    <w:rsid w:val="13DE787C"/>
    <w:rsid w:val="14A40A32"/>
    <w:rsid w:val="14BC4AC5"/>
    <w:rsid w:val="14D20AD2"/>
    <w:rsid w:val="1519698C"/>
    <w:rsid w:val="15683B2E"/>
    <w:rsid w:val="15773565"/>
    <w:rsid w:val="15984E50"/>
    <w:rsid w:val="15B93276"/>
    <w:rsid w:val="15F9528F"/>
    <w:rsid w:val="16752080"/>
    <w:rsid w:val="1678039A"/>
    <w:rsid w:val="168F70D3"/>
    <w:rsid w:val="169F3573"/>
    <w:rsid w:val="171C020F"/>
    <w:rsid w:val="172631CC"/>
    <w:rsid w:val="178202C9"/>
    <w:rsid w:val="186053E8"/>
    <w:rsid w:val="186F3D2C"/>
    <w:rsid w:val="19651414"/>
    <w:rsid w:val="197A46A5"/>
    <w:rsid w:val="19982F2E"/>
    <w:rsid w:val="1ADF03A3"/>
    <w:rsid w:val="1B7A4C29"/>
    <w:rsid w:val="1B9273DB"/>
    <w:rsid w:val="1BAE647A"/>
    <w:rsid w:val="1C5D488E"/>
    <w:rsid w:val="1C8862C8"/>
    <w:rsid w:val="1CCE319B"/>
    <w:rsid w:val="1CDC2785"/>
    <w:rsid w:val="1DB34611"/>
    <w:rsid w:val="1DCF0BE9"/>
    <w:rsid w:val="1DFE3D2C"/>
    <w:rsid w:val="1E041BF6"/>
    <w:rsid w:val="1E0852A9"/>
    <w:rsid w:val="1E24450A"/>
    <w:rsid w:val="1E24676D"/>
    <w:rsid w:val="1E287013"/>
    <w:rsid w:val="1E407A0C"/>
    <w:rsid w:val="1E4E700A"/>
    <w:rsid w:val="1EB22772"/>
    <w:rsid w:val="1EEE370A"/>
    <w:rsid w:val="1F026DAE"/>
    <w:rsid w:val="1FA4592E"/>
    <w:rsid w:val="1FBD5DE8"/>
    <w:rsid w:val="200A5BE1"/>
    <w:rsid w:val="200E31D5"/>
    <w:rsid w:val="201162D5"/>
    <w:rsid w:val="206C2785"/>
    <w:rsid w:val="20AD5F39"/>
    <w:rsid w:val="20E33181"/>
    <w:rsid w:val="2105487A"/>
    <w:rsid w:val="22153B4E"/>
    <w:rsid w:val="222E4177"/>
    <w:rsid w:val="224D4EC9"/>
    <w:rsid w:val="2254713C"/>
    <w:rsid w:val="22601645"/>
    <w:rsid w:val="229F6519"/>
    <w:rsid w:val="22E46845"/>
    <w:rsid w:val="23062764"/>
    <w:rsid w:val="234B73BA"/>
    <w:rsid w:val="236B776F"/>
    <w:rsid w:val="241534A7"/>
    <w:rsid w:val="24801FEF"/>
    <w:rsid w:val="256B1E5E"/>
    <w:rsid w:val="2679522B"/>
    <w:rsid w:val="27510987"/>
    <w:rsid w:val="27E079D6"/>
    <w:rsid w:val="28151073"/>
    <w:rsid w:val="2892552A"/>
    <w:rsid w:val="28E309D7"/>
    <w:rsid w:val="28F95B87"/>
    <w:rsid w:val="2900651C"/>
    <w:rsid w:val="29181460"/>
    <w:rsid w:val="2956167A"/>
    <w:rsid w:val="299145D8"/>
    <w:rsid w:val="29A240AD"/>
    <w:rsid w:val="2A072E6D"/>
    <w:rsid w:val="2A95301D"/>
    <w:rsid w:val="2AD23946"/>
    <w:rsid w:val="2B016076"/>
    <w:rsid w:val="2C092A93"/>
    <w:rsid w:val="2C296497"/>
    <w:rsid w:val="2CD8112F"/>
    <w:rsid w:val="2DB53D1A"/>
    <w:rsid w:val="2DD81171"/>
    <w:rsid w:val="2EA04261"/>
    <w:rsid w:val="2EB4754A"/>
    <w:rsid w:val="2EC55E8F"/>
    <w:rsid w:val="2F623CD7"/>
    <w:rsid w:val="2FB940C6"/>
    <w:rsid w:val="2FF33761"/>
    <w:rsid w:val="30DC4BD6"/>
    <w:rsid w:val="30DF1FC9"/>
    <w:rsid w:val="3142020A"/>
    <w:rsid w:val="316E46A1"/>
    <w:rsid w:val="321861CB"/>
    <w:rsid w:val="32756594"/>
    <w:rsid w:val="34157554"/>
    <w:rsid w:val="342A39F3"/>
    <w:rsid w:val="34407DD9"/>
    <w:rsid w:val="34703684"/>
    <w:rsid w:val="34910215"/>
    <w:rsid w:val="34CA51D8"/>
    <w:rsid w:val="35052E5A"/>
    <w:rsid w:val="350937A0"/>
    <w:rsid w:val="351B60C1"/>
    <w:rsid w:val="354D2AAA"/>
    <w:rsid w:val="35A85B74"/>
    <w:rsid w:val="360C27FC"/>
    <w:rsid w:val="363B4CE0"/>
    <w:rsid w:val="369513E5"/>
    <w:rsid w:val="37321FEF"/>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1062CB"/>
    <w:rsid w:val="3E3441E2"/>
    <w:rsid w:val="3E95018E"/>
    <w:rsid w:val="3F34194D"/>
    <w:rsid w:val="3F655CF0"/>
    <w:rsid w:val="3FCA65EE"/>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70418"/>
    <w:rsid w:val="49CC653A"/>
    <w:rsid w:val="49EE5020"/>
    <w:rsid w:val="4B24683E"/>
    <w:rsid w:val="4B2468A5"/>
    <w:rsid w:val="4B336958"/>
    <w:rsid w:val="4C3834EC"/>
    <w:rsid w:val="4C7D6450"/>
    <w:rsid w:val="4CA34769"/>
    <w:rsid w:val="4D766DC3"/>
    <w:rsid w:val="4DA96DAF"/>
    <w:rsid w:val="4DDD7674"/>
    <w:rsid w:val="4E101285"/>
    <w:rsid w:val="4E7D63B1"/>
    <w:rsid w:val="4E8526C9"/>
    <w:rsid w:val="4EF27E9F"/>
    <w:rsid w:val="4FF326D4"/>
    <w:rsid w:val="50956B3A"/>
    <w:rsid w:val="50EA7D5B"/>
    <w:rsid w:val="511E3186"/>
    <w:rsid w:val="512C01CE"/>
    <w:rsid w:val="512E0800"/>
    <w:rsid w:val="51404505"/>
    <w:rsid w:val="51782EBE"/>
    <w:rsid w:val="51DD4C68"/>
    <w:rsid w:val="52A14A4F"/>
    <w:rsid w:val="531628F9"/>
    <w:rsid w:val="53686CD6"/>
    <w:rsid w:val="53804341"/>
    <w:rsid w:val="53E92BA4"/>
    <w:rsid w:val="54D811B0"/>
    <w:rsid w:val="54EC2121"/>
    <w:rsid w:val="55937540"/>
    <w:rsid w:val="55F8243E"/>
    <w:rsid w:val="56165648"/>
    <w:rsid w:val="569300A5"/>
    <w:rsid w:val="56AE1CB4"/>
    <w:rsid w:val="56BA4FB0"/>
    <w:rsid w:val="56F34035"/>
    <w:rsid w:val="57964504"/>
    <w:rsid w:val="5815106A"/>
    <w:rsid w:val="583B552E"/>
    <w:rsid w:val="583E2F16"/>
    <w:rsid w:val="58D414AC"/>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DF0739"/>
    <w:rsid w:val="62FC074F"/>
    <w:rsid w:val="63B17CB6"/>
    <w:rsid w:val="63D5569D"/>
    <w:rsid w:val="64A61339"/>
    <w:rsid w:val="64AC2F64"/>
    <w:rsid w:val="64BB3775"/>
    <w:rsid w:val="652505C7"/>
    <w:rsid w:val="659768E8"/>
    <w:rsid w:val="65B228BF"/>
    <w:rsid w:val="65D50280"/>
    <w:rsid w:val="65DC68D8"/>
    <w:rsid w:val="663C7A55"/>
    <w:rsid w:val="66893AB2"/>
    <w:rsid w:val="66F17846"/>
    <w:rsid w:val="67B10006"/>
    <w:rsid w:val="67E7796D"/>
    <w:rsid w:val="68C719BF"/>
    <w:rsid w:val="68D518BE"/>
    <w:rsid w:val="68E869B8"/>
    <w:rsid w:val="692D768A"/>
    <w:rsid w:val="69B8294C"/>
    <w:rsid w:val="6B83034F"/>
    <w:rsid w:val="6C9B4CCC"/>
    <w:rsid w:val="6CEF2DC8"/>
    <w:rsid w:val="6D1A6E88"/>
    <w:rsid w:val="6D2B237C"/>
    <w:rsid w:val="6D6B7DDB"/>
    <w:rsid w:val="6D7A1B4D"/>
    <w:rsid w:val="6E1B658C"/>
    <w:rsid w:val="6EB86EA2"/>
    <w:rsid w:val="6F0C57B1"/>
    <w:rsid w:val="6F3F15D8"/>
    <w:rsid w:val="6F881FEB"/>
    <w:rsid w:val="6F8C070F"/>
    <w:rsid w:val="709C7941"/>
    <w:rsid w:val="710F37E5"/>
    <w:rsid w:val="71263EE7"/>
    <w:rsid w:val="713A069E"/>
    <w:rsid w:val="714F77B8"/>
    <w:rsid w:val="716C36A6"/>
    <w:rsid w:val="71C43969"/>
    <w:rsid w:val="724A0587"/>
    <w:rsid w:val="73096A16"/>
    <w:rsid w:val="73D968CF"/>
    <w:rsid w:val="73FA2F75"/>
    <w:rsid w:val="742475BB"/>
    <w:rsid w:val="74475B90"/>
    <w:rsid w:val="74524688"/>
    <w:rsid w:val="749F1E28"/>
    <w:rsid w:val="74ED6881"/>
    <w:rsid w:val="76206BFA"/>
    <w:rsid w:val="76632B9F"/>
    <w:rsid w:val="78002D70"/>
    <w:rsid w:val="7887256E"/>
    <w:rsid w:val="78900E9E"/>
    <w:rsid w:val="78C322D8"/>
    <w:rsid w:val="78D452CE"/>
    <w:rsid w:val="78D72357"/>
    <w:rsid w:val="7912238A"/>
    <w:rsid w:val="791A1817"/>
    <w:rsid w:val="79771A73"/>
    <w:rsid w:val="7A32236A"/>
    <w:rsid w:val="7A5C4C55"/>
    <w:rsid w:val="7AE70178"/>
    <w:rsid w:val="7B4E236A"/>
    <w:rsid w:val="7C98620C"/>
    <w:rsid w:val="7D760599"/>
    <w:rsid w:val="7D787ECC"/>
    <w:rsid w:val="7E1B5F99"/>
    <w:rsid w:val="7E1C324B"/>
    <w:rsid w:val="7E1E5E0F"/>
    <w:rsid w:val="7E4726DC"/>
    <w:rsid w:val="7E524B0D"/>
    <w:rsid w:val="7E533CE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6"/>
    <w:qFormat/>
    <w:uiPriority w:val="9"/>
    <w:pPr>
      <w:spacing w:before="260" w:after="260" w:line="416" w:lineRule="auto"/>
      <w:outlineLvl w:val="2"/>
    </w:pPr>
    <w:rPr>
      <w:b/>
      <w:bCs/>
      <w:sz w:val="32"/>
      <w:szCs w:val="32"/>
    </w:rPr>
  </w:style>
  <w:style w:type="paragraph" w:styleId="5">
    <w:name w:val="heading 4"/>
    <w:basedOn w:val="4"/>
    <w:next w:val="1"/>
    <w:link w:val="36"/>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7"/>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2">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64"/>
    <w:unhideWhenUsed/>
    <w:qFormat/>
    <w:uiPriority w:val="99"/>
    <w:rPr>
      <w:b/>
      <w:bCs/>
    </w:rPr>
  </w:style>
  <w:style w:type="paragraph" w:styleId="8">
    <w:name w:val="annotation text"/>
    <w:basedOn w:val="1"/>
    <w:link w:val="35"/>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kern w:val="2"/>
      <w:sz w:val="21"/>
      <w:szCs w:val="20"/>
    </w:rPr>
  </w:style>
  <w:style w:type="paragraph" w:styleId="10">
    <w:name w:val="caption"/>
    <w:basedOn w:val="1"/>
    <w:next w:val="1"/>
    <w:link w:val="30"/>
    <w:qFormat/>
    <w:uiPriority w:val="0"/>
    <w:pPr>
      <w:tabs>
        <w:tab w:val="left" w:pos="1418"/>
      </w:tabs>
      <w:spacing w:before="120" w:after="120" w:line="240" w:lineRule="auto"/>
    </w:pPr>
    <w:rPr>
      <w:b/>
      <w:bCs/>
      <w:sz w:val="20"/>
      <w:szCs w:val="20"/>
      <w:lang w:val="en-GB" w:eastAsia="sv-SE"/>
    </w:rPr>
  </w:style>
  <w:style w:type="paragraph" w:styleId="11">
    <w:name w:val="List Bullet"/>
    <w:basedOn w:val="1"/>
    <w:semiHidden/>
    <w:unhideWhenUsed/>
    <w:qFormat/>
    <w:uiPriority w:val="99"/>
    <w:pPr>
      <w:numPr>
        <w:ilvl w:val="0"/>
        <w:numId w:val="2"/>
      </w:numPr>
    </w:pPr>
  </w:style>
  <w:style w:type="paragraph" w:styleId="12">
    <w:name w:val="Document Map"/>
    <w:basedOn w:val="1"/>
    <w:link w:val="42"/>
    <w:unhideWhenUsed/>
    <w:qFormat/>
    <w:uiPriority w:val="99"/>
    <w:rPr>
      <w:rFonts w:ascii="宋体"/>
      <w:sz w:val="18"/>
      <w:szCs w:val="18"/>
    </w:rPr>
  </w:style>
  <w:style w:type="paragraph" w:styleId="13">
    <w:name w:val="Body Text"/>
    <w:basedOn w:val="1"/>
    <w:link w:val="29"/>
    <w:qFormat/>
    <w:uiPriority w:val="0"/>
    <w:pPr>
      <w:widowControl w:val="0"/>
      <w:spacing w:after="0" w:line="240" w:lineRule="auto"/>
      <w:jc w:val="both"/>
    </w:pPr>
    <w:rPr>
      <w:color w:val="0000FF"/>
      <w:kern w:val="2"/>
      <w:sz w:val="21"/>
      <w:szCs w:val="20"/>
    </w:rPr>
  </w:style>
  <w:style w:type="paragraph" w:styleId="14">
    <w:name w:val="Body Text Indent"/>
    <w:basedOn w:val="1"/>
    <w:link w:val="44"/>
    <w:unhideWhenUsed/>
    <w:qFormat/>
    <w:uiPriority w:val="99"/>
    <w:pPr>
      <w:spacing w:after="120"/>
      <w:ind w:left="420" w:leftChars="200"/>
    </w:pPr>
  </w:style>
  <w:style w:type="paragraph" w:styleId="15">
    <w:name w:val="Plain Text"/>
    <w:basedOn w:val="1"/>
    <w:link w:val="43"/>
    <w:unhideWhenUsed/>
    <w:qFormat/>
    <w:uiPriority w:val="99"/>
    <w:pPr>
      <w:spacing w:after="0" w:line="240" w:lineRule="auto"/>
    </w:pPr>
    <w:rPr>
      <w:rFonts w:eastAsia="Calibri"/>
      <w:szCs w:val="21"/>
      <w:lang w:val="en-GB" w:eastAsia="en-US"/>
    </w:rPr>
  </w:style>
  <w:style w:type="paragraph" w:styleId="16">
    <w:name w:val="Date"/>
    <w:basedOn w:val="1"/>
    <w:next w:val="1"/>
    <w:link w:val="63"/>
    <w:unhideWhenUsed/>
    <w:qFormat/>
    <w:uiPriority w:val="99"/>
    <w:pPr>
      <w:ind w:left="100" w:leftChars="2500"/>
    </w:pPr>
  </w:style>
  <w:style w:type="paragraph" w:styleId="17">
    <w:name w:val="Balloon Text"/>
    <w:basedOn w:val="1"/>
    <w:link w:val="45"/>
    <w:unhideWhenUsed/>
    <w:qFormat/>
    <w:uiPriority w:val="99"/>
    <w:pPr>
      <w:spacing w:after="0" w:line="240" w:lineRule="auto"/>
    </w:pPr>
    <w:rPr>
      <w:rFonts w:ascii="Tahoma" w:hAnsi="Tahoma"/>
      <w:sz w:val="16"/>
      <w:szCs w:val="16"/>
    </w:rPr>
  </w:style>
  <w:style w:type="paragraph" w:styleId="18">
    <w:name w:val="footer"/>
    <w:basedOn w:val="1"/>
    <w:link w:val="62"/>
    <w:unhideWhenUsed/>
    <w:qFormat/>
    <w:uiPriority w:val="99"/>
    <w:pPr>
      <w:tabs>
        <w:tab w:val="center" w:pos="4153"/>
        <w:tab w:val="right" w:pos="8306"/>
      </w:tabs>
      <w:snapToGrid w:val="0"/>
      <w:spacing w:line="240" w:lineRule="auto"/>
    </w:pPr>
    <w:rPr>
      <w:sz w:val="18"/>
      <w:szCs w:val="18"/>
    </w:rPr>
  </w:style>
  <w:style w:type="paragraph" w:styleId="19">
    <w:name w:val="header"/>
    <w:basedOn w:val="1"/>
    <w:link w:val="50"/>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0">
    <w:name w:val="List"/>
    <w:basedOn w:val="1"/>
    <w:unhideWhenUsed/>
    <w:qFormat/>
    <w:uiPriority w:val="99"/>
    <w:pPr>
      <w:ind w:left="200" w:hanging="200" w:hangingChars="200"/>
      <w:contextualSpacing/>
    </w:pPr>
  </w:style>
  <w:style w:type="paragraph" w:styleId="21">
    <w:name w:val="Normal (Web)"/>
    <w:basedOn w:val="1"/>
    <w:unhideWhenUsed/>
    <w:qFormat/>
    <w:uiPriority w:val="99"/>
    <w:pPr>
      <w:spacing w:after="0" w:line="240" w:lineRule="auto"/>
    </w:pPr>
    <w:rPr>
      <w:rFonts w:ascii="宋体" w:hAnsi="宋体" w:cs="宋体"/>
      <w:sz w:val="24"/>
      <w:szCs w:val="24"/>
    </w:rPr>
  </w:style>
  <w:style w:type="character" w:styleId="23">
    <w:name w:val="endnote reference"/>
    <w:unhideWhenUsed/>
    <w:qFormat/>
    <w:uiPriority w:val="99"/>
    <w:rPr>
      <w:vertAlign w:val="superscript"/>
    </w:rPr>
  </w:style>
  <w:style w:type="character" w:styleId="24">
    <w:name w:val="page number"/>
    <w:basedOn w:val="22"/>
    <w:unhideWhenUsed/>
    <w:qFormat/>
    <w:uiPriority w:val="99"/>
  </w:style>
  <w:style w:type="character" w:styleId="25">
    <w:name w:val="Hyperlink"/>
    <w:unhideWhenUsed/>
    <w:qFormat/>
    <w:uiPriority w:val="99"/>
    <w:rPr>
      <w:color w:val="0000FF"/>
      <w:u w:val="single"/>
    </w:rPr>
  </w:style>
  <w:style w:type="character" w:styleId="26">
    <w:name w:val="annotation reference"/>
    <w:unhideWhenUsed/>
    <w:qFormat/>
    <w:uiPriority w:val="0"/>
    <w:rPr>
      <w:sz w:val="16"/>
      <w:szCs w:val="16"/>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9">
    <w:name w:val="正文文本 Char"/>
    <w:link w:val="13"/>
    <w:qFormat/>
    <w:uiPriority w:val="0"/>
    <w:rPr>
      <w:rFonts w:ascii="Times New Roman" w:hAnsi="Times New Roman"/>
      <w:color w:val="0000FF"/>
      <w:kern w:val="2"/>
      <w:sz w:val="21"/>
    </w:rPr>
  </w:style>
  <w:style w:type="character" w:customStyle="1" w:styleId="30">
    <w:name w:val="题注 Char"/>
    <w:link w:val="10"/>
    <w:qFormat/>
    <w:uiPriority w:val="0"/>
    <w:rPr>
      <w:rFonts w:ascii="Times New Roman" w:hAnsi="Times New Roman"/>
      <w:b/>
      <w:bCs/>
      <w:lang w:val="en-GB" w:eastAsia="sv-SE"/>
    </w:rPr>
  </w:style>
  <w:style w:type="character" w:customStyle="1" w:styleId="31">
    <w:name w:val="short_text"/>
    <w:basedOn w:val="22"/>
    <w:qFormat/>
    <w:uiPriority w:val="0"/>
  </w:style>
  <w:style w:type="character" w:customStyle="1" w:styleId="32">
    <w:name w:val="z-窗体底端 Char"/>
    <w:link w:val="33"/>
    <w:semiHidden/>
    <w:qFormat/>
    <w:uiPriority w:val="99"/>
    <w:rPr>
      <w:rFonts w:ascii="Arial" w:hAnsi="Arial" w:cs="Arial"/>
      <w:vanish/>
      <w:sz w:val="16"/>
      <w:szCs w:val="16"/>
    </w:rPr>
  </w:style>
  <w:style w:type="paragraph" w:customStyle="1" w:styleId="33">
    <w:name w:val="z-窗体底端1"/>
    <w:basedOn w:val="1"/>
    <w:next w:val="1"/>
    <w:link w:val="3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4">
    <w:name w:val="keyword"/>
    <w:basedOn w:val="22"/>
    <w:qFormat/>
    <w:uiPriority w:val="0"/>
  </w:style>
  <w:style w:type="character" w:customStyle="1" w:styleId="35">
    <w:name w:val="批注文字 Char"/>
    <w:basedOn w:val="22"/>
    <w:link w:val="8"/>
    <w:qFormat/>
    <w:uiPriority w:val="0"/>
  </w:style>
  <w:style w:type="character" w:customStyle="1" w:styleId="36">
    <w:name w:val="标题 4 Char"/>
    <w:link w:val="5"/>
    <w:qFormat/>
    <w:uiPriority w:val="0"/>
    <w:rPr>
      <w:rFonts w:ascii="Times New Roman" w:hAnsi="Times New Roman"/>
      <w:b/>
      <w:sz w:val="28"/>
      <w:szCs w:val="28"/>
      <w:lang w:val="en-GB"/>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 w:val="20"/>
      <w:szCs w:val="20"/>
      <w:lang w:val="en-GB" w:eastAsia="en-US"/>
    </w:rPr>
  </w:style>
  <w:style w:type="character" w:customStyle="1" w:styleId="39">
    <w:name w:val="hps"/>
    <w:basedOn w:val="22"/>
    <w:qFormat/>
    <w:uiPriority w:val="0"/>
  </w:style>
  <w:style w:type="character" w:customStyle="1" w:styleId="40">
    <w:name w:val="列出段落 Char"/>
    <w:link w:val="41"/>
    <w:qFormat/>
    <w:locked/>
    <w:uiPriority w:val="34"/>
    <w:rPr>
      <w:rFonts w:ascii="Times New Roman" w:hAnsi="Times New Roman"/>
      <w:kern w:val="2"/>
      <w:sz w:val="21"/>
      <w:szCs w:val="24"/>
    </w:rPr>
  </w:style>
  <w:style w:type="paragraph" w:styleId="41">
    <w:name w:val="List Paragraph"/>
    <w:basedOn w:val="1"/>
    <w:link w:val="40"/>
    <w:qFormat/>
    <w:uiPriority w:val="34"/>
    <w:pPr>
      <w:widowControl w:val="0"/>
      <w:spacing w:after="0" w:line="240" w:lineRule="auto"/>
      <w:ind w:firstLine="420" w:firstLineChars="200"/>
      <w:jc w:val="both"/>
    </w:pPr>
    <w:rPr>
      <w:kern w:val="2"/>
      <w:sz w:val="21"/>
      <w:szCs w:val="24"/>
    </w:rPr>
  </w:style>
  <w:style w:type="character" w:customStyle="1" w:styleId="42">
    <w:name w:val="文档结构图 Char"/>
    <w:link w:val="12"/>
    <w:semiHidden/>
    <w:qFormat/>
    <w:uiPriority w:val="99"/>
    <w:rPr>
      <w:rFonts w:ascii="宋体"/>
      <w:sz w:val="18"/>
      <w:szCs w:val="18"/>
    </w:rPr>
  </w:style>
  <w:style w:type="character" w:customStyle="1" w:styleId="43">
    <w:name w:val="纯文本 Char"/>
    <w:link w:val="15"/>
    <w:qFormat/>
    <w:uiPriority w:val="99"/>
    <w:rPr>
      <w:rFonts w:eastAsia="Calibri"/>
      <w:sz w:val="22"/>
      <w:szCs w:val="21"/>
      <w:lang w:val="en-GB" w:eastAsia="en-US"/>
    </w:rPr>
  </w:style>
  <w:style w:type="character" w:customStyle="1" w:styleId="44">
    <w:name w:val="正文文本缩进 Char"/>
    <w:link w:val="14"/>
    <w:qFormat/>
    <w:uiPriority w:val="99"/>
    <w:rPr>
      <w:sz w:val="22"/>
      <w:szCs w:val="22"/>
    </w:rPr>
  </w:style>
  <w:style w:type="character" w:customStyle="1" w:styleId="45">
    <w:name w:val="批注框文本 Char"/>
    <w:link w:val="17"/>
    <w:semiHidden/>
    <w:qFormat/>
    <w:uiPriority w:val="99"/>
    <w:rPr>
      <w:rFonts w:ascii="Tahoma" w:hAnsi="Tahoma" w:cs="Tahoma"/>
      <w:sz w:val="16"/>
      <w:szCs w:val="16"/>
    </w:rPr>
  </w:style>
  <w:style w:type="character" w:customStyle="1" w:styleId="46">
    <w:name w:val="apple-converted-space"/>
    <w:basedOn w:val="22"/>
    <w:qFormat/>
    <w:uiPriority w:val="0"/>
  </w:style>
  <w:style w:type="character" w:customStyle="1" w:styleId="47">
    <w:name w:val="TAH Car"/>
    <w:qFormat/>
    <w:locked/>
    <w:uiPriority w:val="0"/>
    <w:rPr>
      <w:rFonts w:ascii="Arial" w:hAnsi="Arial" w:eastAsia="Times New Roman"/>
      <w:b/>
      <w:sz w:val="18"/>
    </w:rPr>
  </w:style>
  <w:style w:type="character" w:customStyle="1" w:styleId="48">
    <w:name w:val="标题 2 Char"/>
    <w:link w:val="3"/>
    <w:qFormat/>
    <w:uiPriority w:val="0"/>
    <w:rPr>
      <w:rFonts w:ascii="Arial" w:hAnsi="Arial"/>
      <w:b/>
      <w:bCs/>
      <w:sz w:val="28"/>
      <w:szCs w:val="28"/>
    </w:rPr>
  </w:style>
  <w:style w:type="character" w:customStyle="1" w:styleId="49">
    <w:name w:val="ZGSM"/>
    <w:qFormat/>
    <w:uiPriority w:val="0"/>
  </w:style>
  <w:style w:type="character" w:customStyle="1" w:styleId="50">
    <w:name w:val="页眉 Char"/>
    <w:link w:val="19"/>
    <w:qFormat/>
    <w:uiPriority w:val="99"/>
    <w:rPr>
      <w:rFonts w:ascii="Arial" w:hAnsi="Arial" w:eastAsia="MS Mincho"/>
      <w:b/>
      <w:szCs w:val="24"/>
      <w:lang w:eastAsia="en-US"/>
    </w:rPr>
  </w:style>
  <w:style w:type="character" w:customStyle="1" w:styleId="51">
    <w:name w:val="TAH Char"/>
    <w:link w:val="52"/>
    <w:qFormat/>
    <w:locked/>
    <w:uiPriority w:val="0"/>
    <w:rPr>
      <w:rFonts w:ascii="Arial" w:hAnsi="Arial"/>
      <w:b/>
      <w:sz w:val="18"/>
      <w:lang w:val="en-GB" w:eastAsia="en-US"/>
    </w:rPr>
  </w:style>
  <w:style w:type="paragraph" w:customStyle="1" w:styleId="52">
    <w:name w:val="TAH"/>
    <w:basedOn w:val="53"/>
    <w:link w:val="51"/>
    <w:qFormat/>
    <w:uiPriority w:val="0"/>
    <w:rPr>
      <w:b/>
    </w:rPr>
  </w:style>
  <w:style w:type="paragraph" w:customStyle="1" w:styleId="53">
    <w:name w:val="TAC"/>
    <w:basedOn w:val="54"/>
    <w:qFormat/>
    <w:uiPriority w:val="0"/>
    <w:pPr>
      <w:spacing w:line="240" w:lineRule="auto"/>
      <w:jc w:val="center"/>
    </w:pPr>
    <w:rPr>
      <w:szCs w:val="20"/>
      <w:lang w:val="en-GB" w:eastAsia="en-US"/>
    </w:rPr>
  </w:style>
  <w:style w:type="paragraph" w:customStyle="1" w:styleId="54">
    <w:name w:val="TAL"/>
    <w:basedOn w:val="1"/>
    <w:link w:val="85"/>
    <w:qFormat/>
    <w:uiPriority w:val="0"/>
    <w:pPr>
      <w:keepNext/>
      <w:keepLines/>
      <w:spacing w:after="0"/>
    </w:pPr>
    <w:rPr>
      <w:rFonts w:ascii="Arial" w:hAnsi="Arial"/>
      <w:sz w:val="18"/>
    </w:rPr>
  </w:style>
  <w:style w:type="character" w:customStyle="1" w:styleId="55">
    <w:name w:val="标题 1 Char"/>
    <w:link w:val="2"/>
    <w:qFormat/>
    <w:uiPriority w:val="99"/>
    <w:rPr>
      <w:rFonts w:ascii="Arial" w:hAnsi="Arial" w:eastAsia="黑体"/>
      <w:b/>
      <w:bCs/>
      <w:sz w:val="30"/>
      <w:szCs w:val="30"/>
      <w:lang w:val="zh-CN"/>
    </w:rPr>
  </w:style>
  <w:style w:type="character" w:customStyle="1" w:styleId="56">
    <w:name w:val="标题 3 Char"/>
    <w:link w:val="4"/>
    <w:semiHidden/>
    <w:qFormat/>
    <w:uiPriority w:val="9"/>
    <w:rPr>
      <w:b/>
      <w:bCs/>
      <w:sz w:val="32"/>
      <w:szCs w:val="32"/>
    </w:rPr>
  </w:style>
  <w:style w:type="character" w:customStyle="1" w:styleId="57">
    <w:name w:val="标题 5 Char"/>
    <w:link w:val="6"/>
    <w:qFormat/>
    <w:uiPriority w:val="0"/>
    <w:rPr>
      <w:rFonts w:ascii="Times New Roman" w:hAnsi="Times New Roman"/>
      <w:b/>
      <w:sz w:val="24"/>
      <w:szCs w:val="24"/>
      <w:lang w:val="en-GB"/>
    </w:rPr>
  </w:style>
  <w:style w:type="character" w:customStyle="1" w:styleId="58">
    <w:name w:val="B1 (文字)"/>
    <w:link w:val="59"/>
    <w:qFormat/>
    <w:locked/>
    <w:uiPriority w:val="0"/>
    <w:rPr>
      <w:rFonts w:ascii="Times New Roman" w:hAnsi="Times New Roman" w:eastAsia="宋体"/>
      <w:lang w:val="en-GB" w:eastAsia="en-US"/>
    </w:rPr>
  </w:style>
  <w:style w:type="paragraph" w:customStyle="1" w:styleId="59">
    <w:name w:val="B1"/>
    <w:basedOn w:val="20"/>
    <w:link w:val="58"/>
    <w:qFormat/>
    <w:uiPriority w:val="0"/>
    <w:pPr>
      <w:spacing w:after="180" w:line="240" w:lineRule="auto"/>
      <w:ind w:left="568" w:hanging="284" w:firstLineChars="0"/>
    </w:pPr>
    <w:rPr>
      <w:sz w:val="20"/>
      <w:szCs w:val="20"/>
      <w:lang w:val="en-GB" w:eastAsia="en-US"/>
    </w:rPr>
  </w:style>
  <w:style w:type="character" w:customStyle="1" w:styleId="60">
    <w:name w:val="Doc-text2 Char"/>
    <w:link w:val="61"/>
    <w:qFormat/>
    <w:uiPriority w:val="0"/>
    <w:rPr>
      <w:rFonts w:ascii="Arial" w:hAnsi="Arial" w:eastAsia="MS Mincho"/>
      <w:szCs w:val="24"/>
      <w:lang w:val="en-GB" w:eastAsia="en-GB"/>
    </w:rPr>
  </w:style>
  <w:style w:type="paragraph" w:customStyle="1" w:styleId="61">
    <w:name w:val="Doc-text2"/>
    <w:basedOn w:val="1"/>
    <w:link w:val="60"/>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2">
    <w:name w:val="页脚 Char"/>
    <w:link w:val="18"/>
    <w:qFormat/>
    <w:uiPriority w:val="99"/>
    <w:rPr>
      <w:sz w:val="18"/>
      <w:szCs w:val="18"/>
    </w:rPr>
  </w:style>
  <w:style w:type="character" w:customStyle="1" w:styleId="63">
    <w:name w:val="日期 Char"/>
    <w:link w:val="16"/>
    <w:semiHidden/>
    <w:qFormat/>
    <w:uiPriority w:val="99"/>
    <w:rPr>
      <w:sz w:val="22"/>
      <w:szCs w:val="22"/>
    </w:rPr>
  </w:style>
  <w:style w:type="character" w:customStyle="1" w:styleId="64">
    <w:name w:val="批注主题 Char"/>
    <w:link w:val="7"/>
    <w:semiHidden/>
    <w:qFormat/>
    <w:uiPriority w:val="99"/>
    <w:rPr>
      <w:b/>
      <w:bCs/>
    </w:rPr>
  </w:style>
  <w:style w:type="character" w:customStyle="1" w:styleId="65">
    <w:name w:val="z-窗体顶端 Char"/>
    <w:link w:val="66"/>
    <w:semiHidden/>
    <w:qFormat/>
    <w:uiPriority w:val="99"/>
    <w:rPr>
      <w:rFonts w:ascii="Arial" w:hAnsi="Arial" w:cs="Arial"/>
      <w:vanish/>
      <w:sz w:val="16"/>
      <w:szCs w:val="16"/>
    </w:rPr>
  </w:style>
  <w:style w:type="paragraph" w:customStyle="1" w:styleId="66">
    <w:name w:val="z-窗体顶端1"/>
    <w:basedOn w:val="1"/>
    <w:next w:val="1"/>
    <w:link w:val="65"/>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68">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0">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2">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3">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5">
    <w:name w:val="CR Cover Page"/>
    <w:qFormat/>
    <w:uiPriority w:val="0"/>
    <w:pPr>
      <w:spacing w:after="120"/>
    </w:pPr>
    <w:rPr>
      <w:rFonts w:ascii="Arial" w:hAnsi="Arial" w:eastAsia="Batang" w:cs="Times New Roman"/>
      <w:lang w:val="en-GB" w:eastAsia="en-US" w:bidi="ar-SA"/>
    </w:rPr>
  </w:style>
  <w:style w:type="paragraph" w:customStyle="1" w:styleId="76">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7">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78">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79">
    <w:name w:val="修订1"/>
    <w:semiHidden/>
    <w:qFormat/>
    <w:uiPriority w:val="99"/>
    <w:rPr>
      <w:rFonts w:ascii="Times New Roman" w:hAnsi="Times New Roman" w:eastAsia="Batang" w:cs="Times New Roman"/>
      <w:sz w:val="22"/>
      <w:szCs w:val="22"/>
      <w:lang w:val="en-US" w:eastAsia="zh-CN" w:bidi="ar-SA"/>
    </w:rPr>
  </w:style>
  <w:style w:type="paragraph" w:customStyle="1" w:styleId="80">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1">
    <w:name w:val="列出段落11"/>
    <w:basedOn w:val="1"/>
    <w:link w:val="82"/>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2">
    <w:name w:val="List Paragraph Char"/>
    <w:link w:val="81"/>
    <w:qFormat/>
    <w:locked/>
    <w:uiPriority w:val="34"/>
    <w:rPr>
      <w:rFonts w:eastAsia="宋体"/>
      <w:kern w:val="2"/>
      <w:sz w:val="21"/>
      <w:szCs w:val="24"/>
      <w:lang w:val="zh-CN" w:eastAsia="zh-CN"/>
    </w:rPr>
  </w:style>
  <w:style w:type="paragraph" w:customStyle="1" w:styleId="83">
    <w:name w:val="Doc-title"/>
    <w:basedOn w:val="1"/>
    <w:next w:val="61"/>
    <w:link w:val="84"/>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4">
    <w:name w:val="Doc-title Char"/>
    <w:link w:val="83"/>
    <w:qFormat/>
    <w:uiPriority w:val="0"/>
    <w:rPr>
      <w:rFonts w:ascii="Arial" w:hAnsi="Arial" w:eastAsia="MS Mincho"/>
      <w:szCs w:val="24"/>
      <w:lang w:val="en-GB" w:eastAsia="en-GB"/>
    </w:rPr>
  </w:style>
  <w:style w:type="character" w:customStyle="1" w:styleId="85">
    <w:name w:val="TAL Char"/>
    <w:link w:val="54"/>
    <w:qFormat/>
    <w:uiPriority w:val="0"/>
    <w:rPr>
      <w:rFonts w:ascii="Arial" w:hAnsi="Arial"/>
      <w:sz w:val="18"/>
      <w:szCs w:val="22"/>
    </w:rPr>
  </w:style>
  <w:style w:type="paragraph" w:customStyle="1" w:styleId="86">
    <w:name w:val="TF"/>
    <w:basedOn w:val="38"/>
    <w:link w:val="87"/>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7">
    <w:name w:val="TF Zchn"/>
    <w:link w:val="86"/>
    <w:qFormat/>
    <w:uiPriority w:val="0"/>
    <w:rPr>
      <w:rFonts w:ascii="Arial" w:hAnsi="Arial" w:eastAsia="宋体"/>
      <w:b/>
      <w:lang w:val="en-GB" w:eastAsia="en-GB"/>
    </w:rPr>
  </w:style>
  <w:style w:type="paragraph" w:customStyle="1" w:styleId="88">
    <w:name w:val="TAR"/>
    <w:basedOn w:val="54"/>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89">
    <w:name w:val="PL Char"/>
    <w:link w:val="70"/>
    <w:qFormat/>
    <w:uiPriority w:val="0"/>
    <w:rPr>
      <w:rFonts w:ascii="Courier New" w:hAnsi="Courier New" w:eastAsia="Times New Roman"/>
      <w:sz w:val="16"/>
    </w:rPr>
  </w:style>
  <w:style w:type="character" w:customStyle="1" w:styleId="90">
    <w:name w:val="TF Char"/>
    <w:qFormat/>
    <w:uiPriority w:val="0"/>
    <w:rPr>
      <w:rFonts w:ascii="Arial" w:hAnsi="Arial"/>
      <w:b/>
      <w:lang w:val="en-GB" w:eastAsia="zh-CN"/>
    </w:rPr>
  </w:style>
  <w:style w:type="paragraph" w:customStyle="1" w:styleId="91">
    <w:name w:val="Proposal"/>
    <w:basedOn w:val="1"/>
    <w:qFormat/>
    <w:uiPriority w:val="0"/>
    <w:pPr>
      <w:numPr>
        <w:ilvl w:val="0"/>
        <w:numId w:val="3"/>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2">
    <w:name w:val="Agreement"/>
    <w:basedOn w:val="1"/>
    <w:next w:val="1"/>
    <w:qFormat/>
    <w:uiPriority w:val="0"/>
    <w:pPr>
      <w:numPr>
        <w:ilvl w:val="0"/>
        <w:numId w:val="4"/>
      </w:numPr>
      <w:spacing w:before="60" w:after="0" w:line="240" w:lineRule="auto"/>
    </w:pPr>
    <w:rPr>
      <w:rFonts w:ascii="Arial" w:hAnsi="Arial" w:eastAsia="MS Mincho"/>
      <w:b/>
      <w:sz w:val="20"/>
      <w:szCs w:val="24"/>
      <w:lang w:val="en-GB" w:eastAsia="en-GB"/>
    </w:rPr>
  </w:style>
  <w:style w:type="paragraph" w:customStyle="1" w:styleId="93">
    <w:name w:val="Observation"/>
    <w:basedOn w:val="91"/>
    <w:link w:val="94"/>
    <w:qFormat/>
    <w:uiPriority w:val="0"/>
    <w:pPr>
      <w:widowControl w:val="0"/>
      <w:numPr>
        <w:ilvl w:val="0"/>
        <w:numId w:val="5"/>
      </w:numPr>
      <w:overflowPunct/>
      <w:autoSpaceDE/>
      <w:autoSpaceDN/>
      <w:adjustRightInd/>
      <w:ind w:left="1701" w:hanging="1701"/>
      <w:textAlignment w:val="auto"/>
    </w:pPr>
    <w:rPr>
      <w:kern w:val="2"/>
      <w:sz w:val="21"/>
      <w:szCs w:val="22"/>
      <w:lang w:val="en-US" w:eastAsia="ja-JP"/>
    </w:rPr>
  </w:style>
  <w:style w:type="character" w:customStyle="1" w:styleId="94">
    <w:name w:val="Observation Char"/>
    <w:link w:val="93"/>
    <w:qFormat/>
    <w:uiPriority w:val="0"/>
    <w:rPr>
      <w:rFonts w:ascii="Arial" w:hAnsi="Arial" w:eastAsia="等线"/>
      <w:b/>
      <w:bCs/>
      <w:kern w:val="2"/>
      <w:sz w:val="21"/>
      <w:szCs w:val="22"/>
      <w:lang w:eastAsia="ja-JP"/>
    </w:rPr>
  </w:style>
  <w:style w:type="paragraph" w:customStyle="1" w:styleId="95">
    <w:name w:val="Reference"/>
    <w:basedOn w:val="13"/>
    <w:qFormat/>
    <w:uiPriority w:val="0"/>
    <w:pPr>
      <w:numPr>
        <w:ilvl w:val="0"/>
        <w:numId w:val="6"/>
      </w:numPr>
      <w:tabs>
        <w:tab w:val="left" w:pos="360"/>
        <w:tab w:val="clear" w:pos="567"/>
      </w:tabs>
      <w:spacing w:after="120"/>
      <w:ind w:left="0" w:firstLine="0"/>
    </w:pPr>
    <w:rPr>
      <w:rFonts w:ascii="Arial" w:hAnsi="Arial" w:eastAsia="等线"/>
      <w:color w:val="auto"/>
      <w:szCs w:val="22"/>
    </w:rPr>
  </w:style>
  <w:style w:type="paragraph" w:customStyle="1" w:styleId="96">
    <w:name w:val="PropObs"/>
    <w:basedOn w:val="1"/>
    <w:qFormat/>
    <w:uiPriority w:val="0"/>
    <w:pPr>
      <w:numPr>
        <w:ilvl w:val="0"/>
        <w:numId w:val="7"/>
      </w:numPr>
      <w:jc w:val="both"/>
    </w:pPr>
    <w:rPr>
      <w:rFonts w:ascii="Calibri" w:hAnsi="Calibri" w:eastAsia="MS Mincho"/>
      <w:b/>
      <w:szCs w:val="20"/>
      <w:lang w:eastAsia="sv-S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1B3570-865A-4E70-9A4A-A20B2D700E3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1637</Words>
  <Characters>9336</Characters>
  <Lines>77</Lines>
  <Paragraphs>21</Paragraphs>
  <TotalTime>4</TotalTime>
  <ScaleCrop>false</ScaleCrop>
  <LinksUpToDate>false</LinksUpToDate>
  <CharactersWithSpaces>10952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2019-03-22T02:16:00Z</dcterms:created>
  <dc:creator>ZTE</dc:creator>
  <cp:lastModifiedBy>ZTE</cp:lastModifiedBy>
  <dcterms:modified xsi:type="dcterms:W3CDTF">2020-08-07T03:12:19Z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